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人生三要  拿得起  放得下  不生气  要争气  先做人  后做事</w:t>
      </w:r>
    </w:p>
    <w:p>
      <w:r>
        <w:rPr>
          <w:rFonts w:ascii="宋体" w:hAnsi="宋体" w:eastAsia="宋体"/>
          <w:sz w:val="24"/>
        </w:rPr>
        <w:t>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人生三要  拿得起  放得下  不生气  要争气  先做人  后做事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本书出售、求购地址：https://www.jiaokey.com/book/detail/13936534.html</w:t>
      </w:r>
    </w:p>
    <w:p>
      <w:r>
        <w:t>更多相关图书推荐：https://www.jiaokey.com</w:t>
      </w:r>
    </w:p>
    <w:p>
      <w:r>
        <w:t>建一 其他作品：https://www.jiaokey.com/tag/建一.html</w:t>
      </w:r>
    </w:p>
    <w:p>
      <w:r>
        <w:t>关键词搜索：https://www.jiaokey.com/tag/人生三要  拿得起  放得下  不生气  要争气  先做人  后做事.html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