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当代苏联美学和文艺学的方法论问题</w:t>
      </w:r>
    </w:p>
    <w:p>
      <w:r>
        <w:rPr>
          <w:rFonts w:ascii="宋体" w:hAnsi="宋体" w:eastAsia="宋体"/>
          <w:sz w:val="24"/>
        </w:rPr>
        <w:t>刘宁编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当代苏联美学和文艺学的方法论问题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本书出售、求购地址：https://www.jiaokey.com/book/detail/13936042.html</w:t>
      </w:r>
    </w:p>
    <w:p>
      <w:r>
        <w:t>更多相关图书推荐：https://www.jiaokey.com</w:t>
      </w:r>
    </w:p>
    <w:p>
      <w:r>
        <w:t>刘宁编 其他作品：https://www.jiaokey.com/tag/刘宁编.html</w:t>
      </w:r>
    </w:p>
    <w:p>
      <w:r>
        <w:t>关键词搜索：https://www.jiaokey.com/tag/当代苏联美学和文艺学的方法论问题.html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