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依法行政与行政诉讼</w:t>
      </w:r>
    </w:p>
    <w:p>
      <w:r>
        <w:rPr>
          <w:rFonts w:ascii="宋体" w:hAnsi="宋体" w:eastAsia="宋体"/>
          <w:sz w:val="24"/>
        </w:rPr>
        <w:t>田平安，任信谦，梁鱼主编；郑传坤，皮宗泰，王学辉副主编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依法行政与行政诉讼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田平安，任信谦，梁鱼主编；郑传坤，皮宗泰，王学辉副主编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本书出售、求购地址：https://www.jiaokey.com/book/detail/13935022.html</w:t>
      </w:r>
    </w:p>
    <w:p>
      <w:r>
        <w:t>更多相关图书推荐：https://www.jiaokey.com</w:t>
      </w:r>
    </w:p>
    <w:p>
      <w:r>
        <w:t>田平安，任信谦，梁鱼主编；郑传坤，皮宗泰，王学辉副主编 其他作品：https://www.jiaokey.com/tag/田平安，任信谦，梁鱼主编；郑传坤，皮宗泰，王学辉副主编.html</w:t>
      </w:r>
    </w:p>
    <w:p>
      <w:r>
        <w:t>关键词搜索：https://www.jiaokey.com/tag/依法行政与行政诉讼.html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