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犯罪分层研究  以刑事政策和刑事立法意义为视角</w:t>
      </w:r>
    </w:p>
    <w:p>
      <w:r>
        <w:rPr>
          <w:rFonts w:ascii="宋体" w:hAnsi="宋体" w:eastAsia="宋体"/>
          <w:sz w:val="24"/>
        </w:rPr>
        <w:t>叶希善著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犯罪分层研究  以刑事政策和刑事立法意义为视角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本书出售、求购地址：https://www.jiaokey.com/book/detail/13934955.html</w:t>
      </w:r>
    </w:p>
    <w:p>
      <w:r>
        <w:t>更多相关图书推荐：https://www.jiaokey.com</w:t>
      </w:r>
    </w:p>
    <w:p>
      <w:r>
        <w:t>叶希善著 其他作品：https://www.jiaokey.com/tag/叶希善著.html</w:t>
      </w:r>
    </w:p>
    <w:p>
      <w:r>
        <w:t>关键词搜索：https://www.jiaokey.com/tag/犯罪分层研究  以刑事政策和刑事立法意义为视角.html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