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  第2版</w:t>
      </w:r>
    </w:p>
    <w:p>
      <w:r>
        <w:rPr>
          <w:rFonts w:ascii="宋体" w:hAnsi="宋体" w:eastAsia="宋体"/>
          <w:sz w:val="24"/>
        </w:rPr>
        <w:t>蔡文斐，姜洪有主编；桂伟，杜海军，金兴伟副主编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蔡文斐，姜洪有主编；桂伟，杜海军，金兴伟副主编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本书出售、求购地址：https://www.jiaokey.com/book/detail/13934780.html</w:t>
      </w:r>
    </w:p>
    <w:p>
      <w:r>
        <w:t>更多相关图书推荐：https://www.jiaokey.com</w:t>
      </w:r>
    </w:p>
    <w:p>
      <w:r>
        <w:t>蔡文斐，姜洪有主编；桂伟，杜海军，金兴伟副主编 其他作品：https://www.jiaokey.com/tag/蔡文斐，姜洪有主编；桂伟，杜海军，金兴伟副主编.html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关键词搜索：https://www.jiaokey.com/tag/机电传动控制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