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沈昌焕日记  战后第一年  1946</w:t>
      </w:r>
    </w:p>
    <w:p>
      <w:r>
        <w:rPr>
          <w:rFonts w:ascii="宋体" w:hAnsi="宋体" w:eastAsia="宋体"/>
          <w:sz w:val="24"/>
        </w:rPr>
        <w:t>周琇环，蔡盛琦，陈世局编注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沈昌焕日记  战后第一年  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周琇环，蔡盛琦，陈世局编注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本书出售、求购地址：https://www.jiaokey.com/book/detail/13932752.html</w:t>
      </w:r>
    </w:p>
    <w:p>
      <w:r>
        <w:t>更多相关图书推荐：https://www.jiaokey.com</w:t>
      </w:r>
    </w:p>
    <w:p>
      <w:r>
        <w:t>周琇环，蔡盛琦，陈世局编注 其他作品：https://www.jiaokey.com/tag/周琇环，蔡盛琦，陈世局编注.html</w:t>
      </w:r>
    </w:p>
    <w:p>
      <w:r>
        <w:t>国史馆 出版图书：https://www.jiaokey.com/tag/国史馆.html</w:t>
      </w:r>
    </w:p>
    <w:p>
      <w:r>
        <w:t>关键词搜索：https://www.jiaokey.com/tag/沈昌焕日记  战后第一年  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