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香港的跨境「包二奶」现象与社会福利界的回应</w:t>
      </w:r>
    </w:p>
    <w:p>
      <w:r>
        <w:rPr>
          <w:rFonts w:ascii="宋体" w:hAnsi="宋体" w:eastAsia="宋体"/>
          <w:sz w:val="24"/>
        </w:rPr>
        <w:t>马丽庄，谭少薇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香港的跨境「包二奶」现象与社会福利界的回应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马丽庄，谭少薇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香港中文大学香港亚太研究所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本书出售、求购地址：https://www.jiaokey.com/book/detail/13932605.html</w:t>
      </w:r>
    </w:p>
    <w:p>
      <w:r>
        <w:t>更多相关图书推荐：https://www.jiaokey.com</w:t>
      </w:r>
    </w:p>
    <w:p>
      <w:r>
        <w:t>马丽庄，谭少薇 其他作品：https://www.jiaokey.com/tag/马丽庄，谭少薇.html</w:t>
      </w:r>
    </w:p>
    <w:p>
      <w:r>
        <w:t>香港中文大学香港亚太研究所 出版图书：https://www.jiaokey.com/tag/香港中文大学香港亚太研究所.html</w:t>
      </w:r>
    </w:p>
    <w:p>
      <w:r>
        <w:t>关键词搜索：https://www.jiaokey.com/tag/香港的跨境「包二奶」现象与社会福利界的回应.html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