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近年香港社会福利政策的发展  以彭定康的施政为案例</w:t>
      </w:r>
    </w:p>
    <w:p>
      <w:r>
        <w:rPr>
          <w:rFonts w:ascii="宋体" w:hAnsi="宋体" w:eastAsia="宋体"/>
          <w:sz w:val="24"/>
        </w:rPr>
        <w:t>李翊骏著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近年香港社会福利政策的发展  以彭定康的施政为案例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本书出售、求购地址：https://www.jiaokey.com/book/detail/13932604.html</w:t>
      </w:r>
    </w:p>
    <w:p>
      <w:r>
        <w:t>更多相关图书推荐：https://www.jiaokey.com</w:t>
      </w:r>
    </w:p>
    <w:p>
      <w:r>
        <w:t>李翊骏著 其他作品：https://www.jiaokey.com/tag/李翊骏著.html</w:t>
      </w:r>
    </w:p>
    <w:p>
      <w:r>
        <w:t>香港中文大学出版社；香港亚太研究所 出版图书：https://www.jiaokey.com/tag/香港中文大学出版社；香港亚太研究所.html</w:t>
      </w:r>
    </w:p>
    <w:p>
      <w:r>
        <w:t>关键词搜索：https://www.jiaokey.com/tag/近年香港社会福利政策的发展  以彭定康的施政为案例.html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