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民族地区危房改造与少数民族传统民居保护研究  以贵州省为例</w:t>
      </w:r>
    </w:p>
    <w:p>
      <w:r>
        <w:rPr>
          <w:rFonts w:ascii="宋体" w:hAnsi="宋体" w:eastAsia="宋体"/>
          <w:sz w:val="24"/>
        </w:rPr>
        <w:t>吴晓萍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民族地区危房改造与少数民族传统民居保护研究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本书出售、求购地址：https://www.jiaokey.com/book/detail/13931378.html</w:t>
      </w:r>
    </w:p>
    <w:p>
      <w:r>
        <w:t>更多相关图书推荐：https://www.jiaokey.com</w:t>
      </w:r>
    </w:p>
    <w:p>
      <w:r>
        <w:t>吴晓萍 其他作品：https://www.jiaokey.com/tag/吴晓萍.html</w:t>
      </w:r>
    </w:p>
    <w:p>
      <w:r>
        <w:t>关键词搜索：https://www.jiaokey.com/tag/民族地区危房改造与少数民族传统民居保护研究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