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非政府组织的理论阐述  兼论我国现行非政府组织法律的冲突与选择</w:t>
      </w:r>
    </w:p>
    <w:p>
      <w:r>
        <w:rPr>
          <w:rFonts w:ascii="宋体" w:hAnsi="宋体" w:eastAsia="宋体"/>
          <w:sz w:val="24"/>
        </w:rPr>
        <w:t>王建芹著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非政府组织的理论阐述  兼论我国现行非政府组织法律的冲突与选择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本书出售、求购地址：https://www.jiaokey.com/book/detail/13930099.html</w:t>
      </w:r>
    </w:p>
    <w:p>
      <w:r>
        <w:t>更多相关图书推荐：https://www.jiaokey.com</w:t>
      </w:r>
    </w:p>
    <w:p>
      <w:r>
        <w:t>王建芹著 其他作品：https://www.jiaokey.com/tag/王建芹著.html</w:t>
      </w:r>
    </w:p>
    <w:p>
      <w:r>
        <w:t>关键词搜索：https://www.jiaokey.com/tag/非政府组织的理论阐述  兼论我国现行非政府组织法律的冲突与选择.html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