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混凝土结构设计原理（第3版）（按规范GB 50010-2010及局部修订编写)</w:t>
      </w:r>
    </w:p>
    <w:p>
      <w:r>
        <w:rPr>
          <w:rFonts w:ascii="宋体" w:hAnsi="宋体" w:eastAsia="宋体"/>
          <w:sz w:val="24"/>
        </w:rPr>
        <w:t>梁兴文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混凝土结构设计原理（第3版）（按规范GB 50010-2010及局部修订编写)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本书出售、求购地址：https://www.jiaokey.com/book/detail/13929722.html</w:t>
      </w:r>
    </w:p>
    <w:p>
      <w:r>
        <w:t>更多相关图书推荐：https://www.jiaokey.com</w:t>
      </w:r>
    </w:p>
    <w:p>
      <w:r>
        <w:t>梁兴文 其他作品：https://www.jiaokey.com/tag/梁兴文.html</w:t>
      </w:r>
    </w:p>
    <w:p>
      <w:r>
        <w:t>关键词搜索：https://www.jiaokey.com/tag/混凝土结构设计原理（第3版）（按规范GB 50010-2010及局部修订编写).html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