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广州研究  2013</w:t>
      </w:r>
    </w:p>
    <w:p>
      <w:r>
        <w:rPr>
          <w:rFonts w:ascii="宋体" w:hAnsi="宋体" w:eastAsia="宋体"/>
          <w:sz w:val="24"/>
        </w:rPr>
        <w:t>李江涛，郭凡，蔡国萱主编；曾俊良，伍庆，陈剑副主编；禹静，叶丛梅编辑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广州研究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李江涛，郭凡，蔡国萱主编；曾俊良，伍庆，陈剑副主编；禹静，叶丛梅编辑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本书出售、求购地址：https://www.jiaokey.com/book/detail/13927354.html</w:t>
      </w:r>
    </w:p>
    <w:p>
      <w:r>
        <w:t>更多相关图书推荐：https://www.jiaokey.com</w:t>
      </w:r>
    </w:p>
    <w:p>
      <w:r>
        <w:t>李江涛，郭凡，蔡国萱主编；曾俊良，伍庆，陈剑副主编；禹静，叶丛梅编辑 其他作品：https://www.jiaokey.com/tag/李江涛，郭凡，蔡国萱主编；曾俊良，伍庆，陈剑副主编；禹静，叶丛梅编辑.html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关键词搜索：https://www.jiaokey.com/tag/广州研究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