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新型疑难民事业务案件评析</w:t>
      </w:r>
    </w:p>
    <w:p>
      <w:r>
        <w:rPr>
          <w:rFonts w:ascii="宋体" w:hAnsi="宋体" w:eastAsia="宋体"/>
          <w:sz w:val="24"/>
        </w:rPr>
        <w:t>郝惠珍主编；赵秀峰，陆俊熙副主编；朝阳区律师协会民事业务研究会编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新型疑难民事业务案件评析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郝惠珍主编；赵秀峰，陆俊熙副主编；朝阳区律师协会民事业务研究会编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本书出售、求购地址：https://www.jiaokey.com/book/detail/13927255.html</w:t>
      </w:r>
    </w:p>
    <w:p>
      <w:r>
        <w:t>更多相关图书推荐：https://www.jiaokey.com</w:t>
      </w:r>
    </w:p>
    <w:p>
      <w:r>
        <w:t>郝惠珍主编；赵秀峰，陆俊熙副主编；朝阳区律师协会民事业务研究会编 其他作品：https://www.jiaokey.com/tag/郝惠珍主编；赵秀峰，陆俊熙副主编；朝阳区律师协会民事业务研究会编.html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关键词搜索：https://www.jiaokey.com/tag/新型疑难民事业务案件评析.html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