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欧洲艺术  1700-1830</w:t>
      </w:r>
    </w:p>
    <w:p>
      <w:r>
        <w:rPr>
          <w:rFonts w:ascii="宋体" w:hAnsi="宋体" w:eastAsia="宋体"/>
          <w:sz w:val="24"/>
        </w:rPr>
        <w:t>马修·克拉斯克,彭筠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欧洲艺术  1700-1830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马修·克拉斯克,彭筠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9787208134027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艺术史-欧洲-1700-1830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欧洲艺术</w:t>
            </w:r>
          </w:p>
        </w:tc>
      </w:tr>
    </w:tbl>
    <w:p/>
    <w:p>
      <w:pPr>
        <w:pStyle w:val="Heading1"/>
      </w:pPr>
      <w:r>
        <w:t>图书介绍</w:t>
      </w:r>
    </w:p>
    <w:p>
      <w:r>
        <w:t>18至19世纪的欧洲，经济空前增长，社会激烈变革，城市化进程使得通向财富和权力的社会途径被不断拓宽，长期主宰欧洲艺术的文艺复兴传统权威土崩瓦解。这一时期，荷加斯以《浪子生涯》开创叙事版画的先河，雷诺兹却因《罗马学派》对经典的巧妙模仿而闻名遐迩；戈雅在《奇想集》中坚守着启蒙运动的思想，达维特则在《荷拉斯兄弟之誓》中让艺术技巧成为了道德目标……这些作品，无论在形式、风格还是情感上都截然相异。本书作者大胆抛弃“洛可可”、“新古典主义”和“浪漫主义”这些陈词滥调的术语，将以往浮于作品表面的目光，拉回到历史观看的原点，鲜活展现出在这复杂动荡时代下的社会艺术全景。</w:t>
      </w:r>
    </w:p>
    <w:p/>
    <w:p>
      <w:r>
        <w:t>本书出售、求购地址：https://www.jiaokey.com/book/detail/13927169.html</w:t>
      </w:r>
    </w:p>
    <w:p>
      <w:r>
        <w:t>更多欧洲艺术图书推荐：https://www.jiaokey.com</w:t>
      </w:r>
    </w:p>
    <w:p>
      <w:r>
        <w:t>马修·克拉斯克,彭筠 其他作品：https://www.jiaokey.com/tag/马修·克拉斯克,彭筠.html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关键词搜索：https://www.jiaokey.com/tag/艺术史-欧洲-1700-1830.html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