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药物制剂技术</w:t>
      </w:r>
    </w:p>
    <w:p>
      <w:r>
        <w:rPr>
          <w:rFonts w:ascii="宋体" w:hAnsi="宋体" w:eastAsia="宋体"/>
          <w:sz w:val="24"/>
        </w:rPr>
        <w:t>栾淑华，刘跃进主编；金凤环，刘君副主编；边栋，董欣，蒋宏雁，金凤环等编著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栾淑华，刘跃进主编；金凤环，刘君副主编；边栋，董欣，蒋宏雁，金凤环等编著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本书出售、求购地址：https://www.jiaokey.com/book/detail/13925276.html</w:t>
      </w:r>
    </w:p>
    <w:p>
      <w:r>
        <w:t>更多相关图书推荐：https://www.jiaokey.com</w:t>
      </w:r>
    </w:p>
    <w:p>
      <w:r>
        <w:t>栾淑华，刘跃进主编；金凤环，刘君副主编；边栋，董欣，蒋宏雁，金凤环等编著 其他作品：https://www.jiaokey.com/tag/栾淑华，刘跃进主编；金凤环，刘君副主编；边栋，董欣，蒋宏雁，金凤环等编著.html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关键词搜索：https://www.jiaokey.com/tag/药物制剂技术.html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