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如何起作用？</w:t>
      </w:r>
    </w:p>
    <w:p>
      <w:r>
        <w:rPr>
          <w:rFonts w:ascii="宋体" w:hAnsi="宋体" w:eastAsia="宋体"/>
          <w:sz w:val="24"/>
        </w:rPr>
        <w:t>郭威，保一凡，王金，张冀东，廖天狼编著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如何起作用？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郭威，保一凡，王金，张冀东，廖天狼编著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本书出售、求购地址：https://www.jiaokey.com/book/detail/13925197.html</w:t>
      </w:r>
    </w:p>
    <w:p>
      <w:r>
        <w:t>更多相关图书推荐：https://www.jiaokey.com</w:t>
      </w:r>
    </w:p>
    <w:p>
      <w:r>
        <w:t>郭威，保一凡，王金，张冀东，廖天狼编著 其他作品：https://www.jiaokey.com/tag/郭威，保一凡，王金，张冀东，廖天狼编著.html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  如何起作用？.html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