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中国旅游地产项目核心执行力</w:t>
      </w:r>
    </w:p>
    <w:p>
      <w:r>
        <w:rPr>
          <w:rFonts w:ascii="宋体" w:hAnsi="宋体" w:eastAsia="宋体"/>
          <w:sz w:val="24"/>
        </w:rPr>
        <w:t>中地行国际（香港）有线公司，广州市方特思投资策划有限公司主编；徐建平，方克城，范雪梅，蔡锦辉，陈丽芳编著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中国旅游地产项目核心执行力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中地行国际（香港）有线公司，广州市方特思投资策划有限公司主编；徐建平，方克城，范雪梅，蔡锦辉，陈丽芳编著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本书出售、求购地址：https://www.jiaokey.com/book/detail/13924710.html</w:t>
      </w:r>
    </w:p>
    <w:p>
      <w:r>
        <w:t>更多相关图书推荐：https://www.jiaokey.com</w:t>
      </w:r>
    </w:p>
    <w:p>
      <w:r>
        <w:t>中地行国际（香港）有线公司，广州市方特思投资策划有限公司主编；徐建平，方克城，范雪梅，蔡锦辉，陈丽芳编著 其他作品：https://www.jiaokey.com/tag/中地行国际（香港）有线公司，广州市方特思投资策划有限公司主编；徐建平，方克城，范雪梅，蔡锦辉，陈丽芳编著.html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关键词搜索：https://www.jiaokey.com/tag/中国旅游地产项目核心执行力.html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