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东亚主权观念  生成方式与秩序意涵</w:t>
      </w:r>
    </w:p>
    <w:p>
      <w:r>
        <w:rPr>
          <w:rFonts w:ascii="宋体" w:hAnsi="宋体" w:eastAsia="宋体"/>
          <w:sz w:val="24"/>
        </w:rPr>
        <w:t>林永亮著；陈秋途总策划；于洪君主编；胡昊执行主编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东亚主权观念  生成方式与秩序意涵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林永亮著；陈秋途总策划；于洪君主编；胡昊执行主编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本书出售、求购地址：https://www.jiaokey.com/book/detail/13923650.html</w:t>
      </w:r>
    </w:p>
    <w:p>
      <w:r>
        <w:t>更多相关图书推荐：https://www.jiaokey.com</w:t>
      </w:r>
    </w:p>
    <w:p>
      <w:r>
        <w:t>林永亮著；陈秋途总策划；于洪君主编；胡昊执行主编 其他作品：https://www.jiaokey.com/tag/林永亮著；陈秋途总策划；于洪君主编；胡昊执行主编.html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关键词搜索：https://www.jiaokey.com/tag/东亚主权观念  生成方式与秩序意涵.html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