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理论·实务·案例</w:t>
      </w:r>
    </w:p>
    <w:p>
      <w:r>
        <w:rPr>
          <w:rFonts w:ascii="宋体" w:hAnsi="宋体" w:eastAsia="宋体"/>
          <w:sz w:val="24"/>
        </w:rPr>
        <w:t>杨向东主编；杨向东，王卫明，吴旅燕，邱之岫，王颖敏，陈根强撰稿人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杨向东主编；杨向东，王卫明，吴旅燕，邱之岫，王颖敏，陈根强撰稿人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本书出售、求购地址：https://www.jiaokey.com/book/detail/13923339.html</w:t>
      </w:r>
    </w:p>
    <w:p>
      <w:r>
        <w:t>更多相关图书推荐：https://www.jiaokey.com</w:t>
      </w:r>
    </w:p>
    <w:p>
      <w:r>
        <w:t>杨向东主编；杨向东，王卫明，吴旅燕，邱之岫，王颖敏，陈根强撰稿人 其他作品：https://www.jiaokey.com/tag/杨向东主编；杨向东，王卫明，吴旅燕，邱之岫，王颖敏，陈根强撰稿人.html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