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植物杂种优势原理与利用</w:t>
      </w:r>
    </w:p>
    <w:p>
      <w:r>
        <w:rPr>
          <w:rFonts w:ascii="宋体" w:hAnsi="宋体" w:eastAsia="宋体"/>
          <w:sz w:val="24"/>
        </w:rPr>
        <w:t>肖层林，张海清，麻浩主编；马守才，陈烈臣，曾汉来等副主编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植物杂种优势原理与利用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肖层林，张海清，麻浩主编；马守才，陈烈臣，曾汉来等副主编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本书出售、求购地址：https://www.jiaokey.com/book/detail/13922877.html</w:t>
      </w:r>
    </w:p>
    <w:p>
      <w:r>
        <w:t>更多相关图书推荐：https://www.jiaokey.com</w:t>
      </w:r>
    </w:p>
    <w:p>
      <w:r>
        <w:t>肖层林，张海清，麻浩主编；马守才，陈烈臣，曾汉来等副主编 其他作品：https://www.jiaokey.com/tag/肖层林，张海清，麻浩主编；马守才，陈烈臣，曾汉来等副主编.html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关键词搜索：https://www.jiaokey.com/tag/植物杂种优势原理与利用.html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