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流域水土流失模拟方法</w:t>
      </w:r>
    </w:p>
    <w:p>
      <w:r>
        <w:rPr>
          <w:rFonts w:ascii="宋体" w:hAnsi="宋体" w:eastAsia="宋体"/>
          <w:sz w:val="24"/>
        </w:rPr>
        <w:t>雷廷武，蔡强国，郑明国，屈丽琴，孙莉英，晏清洪著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流域水土流失模拟方法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雷廷武，蔡强国，郑明国，屈丽琴，孙莉英，晏清洪著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本书出售、求购地址：https://www.jiaokey.com/book/detail/13922496.html</w:t>
      </w:r>
    </w:p>
    <w:p>
      <w:r>
        <w:t>更多相关图书推荐：https://www.jiaokey.com</w:t>
      </w:r>
    </w:p>
    <w:p>
      <w:r>
        <w:t>雷廷武，蔡强国，郑明国，屈丽琴，孙莉英，晏清洪著 其他作品：https://www.jiaokey.com/tag/雷廷武，蔡强国，郑明国，屈丽琴，孙莉英，晏清洪著.html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关键词搜索：https://www.jiaokey.com/tag/流域水土流失模拟方法.html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