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案例版</w:t>
      </w:r>
    </w:p>
    <w:p>
      <w:r>
        <w:rPr>
          <w:rFonts w:ascii="宋体" w:hAnsi="宋体" w:eastAsia="宋体"/>
          <w:sz w:val="24"/>
        </w:rPr>
        <w:t>邹继红，司毅主编；董希敏，吴小琼副主编；董希敏，高旭，孔维雪，司毅，吴小琼等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邹继红，司毅主编；董希敏，吴小琼副主编；董希敏，高旭，孔维雪，司毅，吴小琼等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本书出售、求购地址：https://www.jiaokey.com/book/detail/13922353.html</w:t>
      </w:r>
    </w:p>
    <w:p>
      <w:r>
        <w:t>更多相关图书推荐：https://www.jiaokey.com</w:t>
      </w:r>
    </w:p>
    <w:p>
      <w:r>
        <w:t>邹继红，司毅主编；董希敏，吴小琼副主编；董希敏，高旭，孔维雪，司毅，吴小琼等 其他作品：https://www.jiaokey.com/tag/邹继红，司毅主编；董希敏，吴小琼副主编；董希敏，高旭，孔维雪，司毅，吴小琼等.html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