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骨伤科误诊误治案例分析与对策</w:t>
      </w:r>
    </w:p>
    <w:p>
      <w:r>
        <w:rPr>
          <w:rFonts w:ascii="宋体" w:hAnsi="宋体" w:eastAsia="宋体"/>
          <w:sz w:val="24"/>
        </w:rPr>
        <w:t>李无阴，周中华主编；喻长纯等副主编；张作君等编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骨伤科误诊误治案例分析与对策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李无阴，周中华主编；喻长纯等副主编；张作君等编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本书出售、求购地址：https://www.jiaokey.com/book/detail/13921670.html</w:t>
      </w:r>
    </w:p>
    <w:p>
      <w:r>
        <w:t>更多相关图书推荐：https://www.jiaokey.com</w:t>
      </w:r>
    </w:p>
    <w:p>
      <w:r>
        <w:t>李无阴，周中华主编；喻长纯等副主编；张作君等编 其他作品：https://www.jiaokey.com/tag/李无阴，周中华主编；喻长纯等副主编；张作君等编.html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关键词搜索：https://www.jiaokey.com/tag/骨伤科误诊误治案例分析与对策.html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