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中国的战时财政和通货膨胀</w:t>
      </w:r>
    </w:p>
    <w:p>
      <w:r>
        <w:rPr>
          <w:rFonts w:ascii="宋体" w:hAnsi="宋体" w:eastAsia="宋体"/>
          <w:sz w:val="24"/>
        </w:rPr>
        <w:t>（美）阿瑟·N·杨格著；陈冠庸译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中国的战时财政和通货膨胀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（美）阿瑟·N·杨格著；陈冠庸译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广东省社会科学院原世界经济研究室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本书出售、求购地址：https://www.jiaokey.com/book/detail/13921325.html</w:t>
      </w:r>
    </w:p>
    <w:p>
      <w:r>
        <w:t>更多相关图书推荐：https://www.jiaokey.com</w:t>
      </w:r>
    </w:p>
    <w:p>
      <w:r>
        <w:t>（美）阿瑟·N·杨格著；陈冠庸译 其他作品：https://www.jiaokey.com/tag/（美）阿瑟·N·杨格著；陈冠庸译.html</w:t>
      </w:r>
    </w:p>
    <w:p>
      <w:r>
        <w:t>广东省社会科学院原世界经济研究室 出版图书：https://www.jiaokey.com/tag/广东省社会科学院原世界经济研究室.html</w:t>
      </w:r>
    </w:p>
    <w:p>
      <w:r>
        <w:t>关键词搜索：https://www.jiaokey.com/tag/中国的战时财政和通货膨胀.html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