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</w:t>
      </w:r>
    </w:p>
    <w:p>
      <w:r>
        <w:rPr>
          <w:rFonts w:ascii="宋体" w:hAnsi="宋体" w:eastAsia="宋体"/>
          <w:sz w:val="24"/>
        </w:rPr>
        <w:t>戚金清，王兢主编；王开宇，唐洪，龚晓峰，陈晓明编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戚金清，王兢主编；王开宇，唐洪，龚晓峰，陈晓明编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本书出售、求购地址：https://www.jiaokey.com/book/detail/13920327.html</w:t>
      </w:r>
    </w:p>
    <w:p>
      <w:r>
        <w:t>更多相关图书推荐：https://www.jiaokey.com</w:t>
      </w:r>
    </w:p>
    <w:p>
      <w:r>
        <w:t>戚金清，王兢主编；王开宇，唐洪，龚晓峰，陈晓明编 其他作品：https://www.jiaokey.com/tag/戚金清，王兢主编；王开宇，唐洪，龚晓峰，陈晓明编.html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