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文艺复兴的隐暗面  识字教育、地域性与殖民化  第2版</w:t>
      </w:r>
    </w:p>
    <w:p>
      <w:r>
        <w:rPr>
          <w:rFonts w:ascii="宋体" w:hAnsi="宋体" w:eastAsia="宋体"/>
          <w:sz w:val="24"/>
        </w:rPr>
        <w:t>（阿根廷）瓦尔特·米尼奥罗著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文艺复兴的隐暗面  识字教育、地域性与殖民化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（阿根廷）瓦尔特·米尼奥罗著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本书出售、求购地址：https://www.jiaokey.com/book/detail/13919376.html</w:t>
      </w:r>
    </w:p>
    <w:p>
      <w:r>
        <w:t>更多相关图书推荐：https://www.jiaokey.com</w:t>
      </w:r>
    </w:p>
    <w:p>
      <w:r>
        <w:t>（阿根廷）瓦尔特·米尼奥罗著 其他作品：https://www.jiaokey.com/tag/（阿根廷）瓦尔特·米尼奥罗著.html</w:t>
      </w:r>
    </w:p>
    <w:p>
      <w:r>
        <w:t>关键词搜索：https://www.jiaokey.com/tag/文艺复兴的隐暗面  识字教育、地域性与殖民化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