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水利工程设计概（估）算编制规定  建设征地移民补偿</w:t>
      </w:r>
    </w:p>
    <w:p>
      <w:r>
        <w:rPr>
          <w:rFonts w:ascii="宋体" w:hAnsi="宋体" w:eastAsia="宋体"/>
          <w:sz w:val="24"/>
        </w:rPr>
        <w:t>水利部水利建设经济定额站主编；陈伟，潘尚兴，姚玉琴主编；王晓峰，齐美苗，冯久成副主编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水利工程设计概（估）算编制规定  建设征地移民补偿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水利部水利建设经济定额站主编；陈伟，潘尚兴，姚玉琴主编；王晓峰，齐美苗，冯久成副主编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本书出售、求购地址：https://www.jiaokey.com/book/detail/13918934.html</w:t>
      </w:r>
    </w:p>
    <w:p>
      <w:r>
        <w:t>更多相关图书推荐：https://www.jiaokey.com</w:t>
      </w:r>
    </w:p>
    <w:p>
      <w:r>
        <w:t>水利部水利建设经济定额站主编；陈伟，潘尚兴，姚玉琴主编；王晓峰，齐美苗，冯久成副主编 其他作品：https://www.jiaokey.com/tag/水利部水利建设经济定额站主编；陈伟，潘尚兴，姚玉琴主编；王晓峰，齐美苗，冯久成副主编.html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关键词搜索：https://www.jiaokey.com/tag/水利工程设计概（估）算编制规定  建设征地移民补偿.html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