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省级精品课程配套教材  车削加工技术</w:t>
      </w:r>
    </w:p>
    <w:p>
      <w:r>
        <w:rPr>
          <w:rFonts w:ascii="宋体" w:hAnsi="宋体" w:eastAsia="宋体"/>
          <w:sz w:val="24"/>
        </w:rPr>
        <w:t>张云龙，刘小兰主编；赵玮，周彦云，陈淑英副主编；王瑞清主审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省级精品课程配套教材  车削加工技术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张云龙，刘小兰主编；赵玮，周彦云，陈淑英副主编；王瑞清主审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本书出售、求购地址：https://www.jiaokey.com/book/detail/13918341.html</w:t>
      </w:r>
    </w:p>
    <w:p>
      <w:r>
        <w:t>更多相关图书推荐：https://www.jiaokey.com</w:t>
      </w:r>
    </w:p>
    <w:p>
      <w:r>
        <w:t>张云龙，刘小兰主编；赵玮，周彦云，陈淑英副主编；王瑞清主审 其他作品：https://www.jiaokey.com/tag/张云龙，刘小兰主编；赵玮，周彦云，陈淑英副主编；王瑞清主审.html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关键词搜索：https://www.jiaokey.com/tag/“十三五”职业教育规划教材  省级精品课程配套教材  车削加工技术.html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