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创伤后应激障碍</w:t>
      </w:r>
    </w:p>
    <w:p>
      <w:r>
        <w:rPr>
          <w:rFonts w:ascii="宋体" w:hAnsi="宋体" w:eastAsia="宋体"/>
          <w:sz w:val="24"/>
        </w:rPr>
        <w:t>王正国名誉主编；王庆松，谭庆荣主编；呼永河，崔红，杨彦春，况伟宏副主编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创伤后应激障碍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王正国名誉主编；王庆松，谭庆荣主编；呼永河，崔红，杨彦春，况伟宏副主编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本书出售、求购地址：https://www.jiaokey.com/book/detail/13917082.html</w:t>
      </w:r>
    </w:p>
    <w:p>
      <w:r>
        <w:t>更多相关图书推荐：https://www.jiaokey.com</w:t>
      </w:r>
    </w:p>
    <w:p>
      <w:r>
        <w:t>王正国名誉主编；王庆松，谭庆荣主编；呼永河，崔红，杨彦春，况伟宏副主编 其他作品：https://www.jiaokey.com/tag/王正国名誉主编；王庆松，谭庆荣主编；呼永河，崔红，杨彦春，况伟宏副主编.html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关键词搜索：https://www.jiaokey.com/tag/创伤后应激障碍.html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