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2010数据库程序设计</w:t>
      </w:r>
    </w:p>
    <w:p>
      <w:r>
        <w:rPr>
          <w:rFonts w:ascii="宋体" w:hAnsi="宋体" w:eastAsia="宋体"/>
          <w:sz w:val="24"/>
        </w:rPr>
        <w:t>纪澍琴，于雪晶主编；刘威，俞炫昊，梁银山副主编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纪澍琴，于雪晶主编；刘威，俞炫昊，梁银山副主编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本书出售、求购地址：https://www.jiaokey.com/book/detail/13914796.html</w:t>
      </w:r>
    </w:p>
    <w:p>
      <w:r>
        <w:t>更多相关图书推荐：https://www.jiaokey.com</w:t>
      </w:r>
    </w:p>
    <w:p>
      <w:r>
        <w:t>纪澍琴，于雪晶主编；刘威，俞炫昊，梁银山副主编 其他作品：https://www.jiaokey.com/tag/纪澍琴，于雪晶主编；刘威，俞炫昊，梁银山副主编.html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2010数据库程序设计.html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