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水彩画技法</w:t>
      </w:r>
    </w:p>
    <w:p>
      <w:r>
        <w:rPr>
          <w:rFonts w:ascii="宋体" w:hAnsi="宋体" w:eastAsia="宋体"/>
          <w:sz w:val="24"/>
        </w:rPr>
        <w:t>屠维能，马兴隆，李荣斌，杨付恒，罗立丽，郭伟光编著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屠维能，马兴隆，李荣斌，杨付恒，罗立丽，郭伟光编著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本书出售、求购地址：https://www.jiaokey.com/book/detail/13912517.html</w:t>
      </w:r>
    </w:p>
    <w:p>
      <w:r>
        <w:t>更多相关图书推荐：https://www.jiaokey.com</w:t>
      </w:r>
    </w:p>
    <w:p>
      <w:r>
        <w:t>屠维能，马兴隆，李荣斌，杨付恒，罗立丽，郭伟光编著 其他作品：https://www.jiaokey.com/tag/屠维能，马兴隆，李荣斌，杨付恒，罗立丽，郭伟光编著.html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关键词搜索：https://www.jiaokey.com/tag/水彩画技法.html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