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外商投资特许权项目（BOT）操作技巧  第1卷</w:t>
      </w:r>
    </w:p>
    <w:p>
      <w:r>
        <w:rPr>
          <w:rFonts w:ascii="宋体" w:hAnsi="宋体" w:eastAsia="宋体"/>
          <w:sz w:val="24"/>
        </w:rPr>
        <w:t>张晓军主编；刘金福副主编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外商投资特许权项目（BOT）操作技巧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张晓军主编；刘金福副主编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北洋咨询集团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本书出售、求购地址：https://www.jiaokey.com/book/detail/13911501.html</w:t>
      </w:r>
    </w:p>
    <w:p>
      <w:r>
        <w:t>更多相关图书推荐：https://www.jiaokey.com</w:t>
      </w:r>
    </w:p>
    <w:p>
      <w:r>
        <w:t>张晓军主编；刘金福副主编 其他作品：https://www.jiaokey.com/tag/张晓军主编；刘金福副主编.html</w:t>
      </w:r>
    </w:p>
    <w:p>
      <w:r>
        <w:t>北洋咨询集团 出版图书：https://www.jiaokey.com/tag/北洋咨询集团.html</w:t>
      </w:r>
    </w:p>
    <w:p>
      <w:r>
        <w:t>关键词搜索：https://www.jiaokey.com/tag/外商投资特许权项目（BOT）操作技巧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