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粮食是一种武器  粮食战略资源的经济理论分析</w:t>
      </w:r>
    </w:p>
    <w:p>
      <w:r>
        <w:rPr>
          <w:rFonts w:ascii="宋体" w:hAnsi="宋体" w:eastAsia="宋体"/>
          <w:sz w:val="24"/>
        </w:rPr>
        <w:t>张型双，庞柏林著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粮食是一种武器  粮食战略资源的经济理论分析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张型双，庞柏林著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本书出售、求购地址：https://www.jiaokey.com/book/detail/13909569.html</w:t>
      </w:r>
    </w:p>
    <w:p>
      <w:r>
        <w:t>更多相关图书推荐：https://www.jiaokey.com</w:t>
      </w:r>
    </w:p>
    <w:p>
      <w:r>
        <w:t>张型双，庞柏林著 其他作品：https://www.jiaokey.com/tag/张型双，庞柏林著.html</w:t>
      </w:r>
    </w:p>
    <w:p>
      <w:r>
        <w:t>中国财富出版社 出版图书：https://www.jiaokey.com/tag/中国财富出版社.html</w:t>
      </w:r>
    </w:p>
    <w:p>
      <w:r>
        <w:t>关键词搜索：https://www.jiaokey.com/tag/粮食是一种武器  粮食战略资源的经济理论分析.html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