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常见病中成药临床合理使用丛书  骨伤科分册</w:t>
      </w:r>
    </w:p>
    <w:p>
      <w:r>
        <w:rPr>
          <w:rFonts w:ascii="宋体" w:hAnsi="宋体" w:eastAsia="宋体"/>
          <w:sz w:val="24"/>
        </w:rPr>
        <w:t>北京市惠民医药卫生事业发展基金会组织编写；张伯礼，高学敏丛书主编；朱立国分册主编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常见病中成药临床合理使用丛书  骨伤科分册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北京市惠民医药卫生事业发展基金会组织编写；张伯礼，高学敏丛书主编；朱立国分册主编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本书出售、求购地址：https://www.jiaokey.com/book/detail/13909237.html</w:t>
      </w:r>
    </w:p>
    <w:p>
      <w:r>
        <w:t>更多相关图书推荐：https://www.jiaokey.com</w:t>
      </w:r>
    </w:p>
    <w:p>
      <w:r>
        <w:t>北京市惠民医药卫生事业发展基金会组织编写；张伯礼，高学敏丛书主编；朱立国分册主编 其他作品：https://www.jiaokey.com/tag/北京市惠民医药卫生事业发展基金会组织编写；张伯礼，高学敏丛书主编；朱立国分册主编.html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关键词搜索：https://www.jiaokey.com/tag/常见病中成药临床合理使用丛书  骨伤科分册.html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