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空权论</w:t>
      </w:r>
    </w:p>
    <w:p>
      <w:r>
        <w:rPr>
          <w:rFonts w:ascii="宋体" w:hAnsi="宋体" w:eastAsia="宋体"/>
          <w:sz w:val="24"/>
        </w:rPr>
        <w:t>（意）朱利奥·杜黑著；欧阳瑾，宋和坤译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（意）朱利奥·杜黑著；欧阳瑾，宋和坤译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本书出售、求购地址：https://www.jiaokey.com/book/detail/13905913.html</w:t>
      </w:r>
    </w:p>
    <w:p>
      <w:r>
        <w:t>更多相关图书推荐：https://www.jiaokey.com</w:t>
      </w:r>
    </w:p>
    <w:p>
      <w:r>
        <w:t>（意）朱利奥·杜黑著；欧阳瑾，宋和坤译 其他作品：https://www.jiaokey.com/tag/（意）朱利奥·杜黑著；欧阳瑾，宋和坤译.html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关键词搜索：https://www.jiaokey.com/tag/空权论.html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