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蒲剧调式形成</w:t>
      </w:r>
    </w:p>
    <w:p>
      <w:r>
        <w:rPr>
          <w:rFonts w:ascii="宋体" w:hAnsi="宋体" w:eastAsia="宋体"/>
          <w:sz w:val="24"/>
        </w:rPr>
        <w:t>卫世诚著；山西省运城地区戏校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蒲剧调式形成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卫世诚著；山西省运城地区戏校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本书出售、求购地址：https://www.jiaokey.com/book/detail/13904245.html</w:t>
      </w:r>
    </w:p>
    <w:p>
      <w:r>
        <w:t>更多相关图书推荐：https://www.jiaokey.com</w:t>
      </w:r>
    </w:p>
    <w:p>
      <w:r>
        <w:t>卫世诚著；山西省运城地区戏校 其他作品：https://www.jiaokey.com/tag/卫世诚著；山西省运城地区戏校.html</w:t>
      </w:r>
    </w:p>
    <w:p>
      <w:r>
        <w:t>关键词搜索：https://www.jiaokey.com/tag/蒲剧调式形成.html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