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房地产基本制度与政策</w:t>
      </w:r>
    </w:p>
    <w:p>
      <w:r>
        <w:rPr>
          <w:rFonts w:ascii="宋体" w:hAnsi="宋体" w:eastAsia="宋体"/>
          <w:sz w:val="24"/>
        </w:rPr>
        <w:t>胡细英主编；龚鹏腾，尧诗恬，张福梅副主编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房地产基本制度与政策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胡细英主编；龚鹏腾，尧诗恬，张福梅副主编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本书出售、求购地址：https://www.jiaokey.com/book/detail/13900323.html</w:t>
      </w:r>
    </w:p>
    <w:p>
      <w:r>
        <w:t>更多相关图书推荐：https://www.jiaokey.com</w:t>
      </w:r>
    </w:p>
    <w:p>
      <w:r>
        <w:t>胡细英主编；龚鹏腾，尧诗恬，张福梅副主编 其他作品：https://www.jiaokey.com/tag/胡细英主编；龚鹏腾，尧诗恬，张福梅副主编.html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关键词搜索：https://www.jiaokey.com/tag/房地产基本制度与政策.html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