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社会命运  和谐与自由的保障</w:t>
      </w:r>
    </w:p>
    <w:p>
      <w:r>
        <w:rPr>
          <w:rFonts w:ascii="宋体" w:hAnsi="宋体" w:eastAsia="宋体"/>
          <w:sz w:val="24"/>
        </w:rPr>
        <w:t>（法）唯孔西得郎，（德）W·魏特林著；李平沤，孙则明译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社会命运  和谐与自由的保障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（法）唯孔西得郎，（德）W·魏特林著；李平沤，孙则明译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本书出售、求购地址：https://www.jiaokey.com/book/detail/13899985.html</w:t>
      </w:r>
    </w:p>
    <w:p>
      <w:r>
        <w:t>更多相关图书推荐：https://www.jiaokey.com</w:t>
      </w:r>
    </w:p>
    <w:p>
      <w:r>
        <w:t>（法）唯孔西得郎，（德）W·魏特林著；李平沤，孙则明译 其他作品：https://www.jiaokey.com/tag/（法）唯孔西得郎，（德）W·魏特林著；李平沤，孙则明译.html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关键词搜索：https://www.jiaokey.com/tag/社会命运  和谐与自由的保障.html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