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风险管理与内部控制系列手册  企业内部控制手册</w:t>
      </w:r>
    </w:p>
    <w:p>
      <w:r>
        <w:rPr>
          <w:rFonts w:ascii="宋体" w:hAnsi="宋体" w:eastAsia="宋体"/>
          <w:sz w:val="24"/>
        </w:rPr>
        <w:t>宋方红，高立法，王士民主编；瞿春生，成春芳，周海泉副主编；虞旭清，朱静主审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风险管理与内部控制系列手册  企业内部控制手册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宋方红，高立法，王士民主编；瞿春生，成春芳，周海泉副主编；虞旭清，朱静主审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本书出售、求购地址：https://www.jiaokey.com/book/detail/13898614.html</w:t>
      </w:r>
    </w:p>
    <w:p>
      <w:r>
        <w:t>更多相关图书推荐：https://www.jiaokey.com</w:t>
      </w:r>
    </w:p>
    <w:p>
      <w:r>
        <w:t>宋方红，高立法，王士民主编；瞿春生，成春芳，周海泉副主编；虞旭清，朱静主审 其他作品：https://www.jiaokey.com/tag/宋方红，高立法，王士民主编；瞿春生，成春芳，周海泉副主编；虞旭清，朱静主审.html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关键词搜索：https://www.jiaokey.com/tag/风险管理与内部控制系列手册  企业内部控制手册.html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