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从原始剑侠到仙侠</w:t>
      </w:r>
    </w:p>
    <w:p>
      <w:r>
        <w:rPr>
          <w:rFonts w:ascii="宋体" w:hAnsi="宋体" w:eastAsia="宋体"/>
          <w:sz w:val="24"/>
        </w:rPr>
        <w:t>曾永义主编；杨清惠著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从原始剑侠到仙侠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曾永义主编；杨清惠著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花木兰文化出版社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本书出售、求购地址：https://www.jiaokey.com/book/detail/13898159.html</w:t>
      </w:r>
    </w:p>
    <w:p>
      <w:r>
        <w:t>更多相关图书推荐：https://www.jiaokey.com</w:t>
      </w:r>
    </w:p>
    <w:p>
      <w:r>
        <w:t>曾永义主编；杨清惠著 其他作品：https://www.jiaokey.com/tag/曾永义主编；杨清惠著.html</w:t>
      </w:r>
    </w:p>
    <w:p>
      <w:r>
        <w:t>花木兰文化出版社 出版图书：https://www.jiaokey.com/tag/花木兰文化出版社.html</w:t>
      </w:r>
    </w:p>
    <w:p>
      <w:r>
        <w:t>关键词搜索：https://www.jiaokey.com/tag/从原始剑侠到仙侠.html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