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原理与案例</w:t>
      </w:r>
    </w:p>
    <w:p>
      <w:r>
        <w:rPr>
          <w:rFonts w:ascii="宋体" w:hAnsi="宋体" w:eastAsia="宋体"/>
          <w:sz w:val="24"/>
        </w:rPr>
        <w:t>米新丽主编；李长城，王德山，张世君副主编；李长城，米新丽，沈敏荣，王德山，王燕，翟业虎，张世君，郑文科撰稿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米新丽主编；李长城，王德山，张世君副主编；李长城，米新丽，沈敏荣，王德山，王燕，翟业虎，张世君，郑文科撰稿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本书出售、求购地址：https://www.jiaokey.com/book/detail/13897161.html</w:t>
      </w:r>
    </w:p>
    <w:p>
      <w:r>
        <w:t>更多相关图书推荐：https://www.jiaokey.com</w:t>
      </w:r>
    </w:p>
    <w:p>
      <w:r>
        <w:t>米新丽主编；李长城，王德山，张世君副主编；李长城，米新丽，沈敏荣，王德山，王燕，翟业虎，张世君，郑文科撰稿 其他作品：https://www.jiaokey.com/tag/米新丽主编；李长城，王德山，张世君副主编；李长城，米新丽，沈敏荣，王德山，王燕，翟业虎，张世君，郑文科撰稿.html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关键词搜索：https://www.jiaokey.com/tag/商法学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