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难产</w:t>
      </w:r>
    </w:p>
    <w:p>
      <w:r>
        <w:rPr>
          <w:rFonts w:ascii="宋体" w:hAnsi="宋体" w:eastAsia="宋体"/>
          <w:sz w:val="24"/>
        </w:rPr>
        <w:t>刘兴会，漆洪波主编；段涛，杨慧霞，王晓东，徐先明副主编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刘兴会，漆洪波主编；段涛，杨慧霞，王晓东，徐先明副主编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本书出售、求购地址：https://www.jiaokey.com/book/detail/13896482.html</w:t>
      </w:r>
    </w:p>
    <w:p>
      <w:r>
        <w:t>更多相关图书推荐：https://www.jiaokey.com</w:t>
      </w:r>
    </w:p>
    <w:p>
      <w:r>
        <w:t>刘兴会，漆洪波主编；段涛，杨慧霞，王晓东，徐先明副主编 其他作品：https://www.jiaokey.com/tag/刘兴会，漆洪波主编；段涛，杨慧霞，王晓东，徐先明副主编.html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