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营业税改增值税操作实务与案例分析</w:t>
      </w:r>
    </w:p>
    <w:p>
      <w:r>
        <w:rPr>
          <w:rFonts w:ascii="宋体" w:hAnsi="宋体" w:eastAsia="宋体"/>
          <w:sz w:val="24"/>
        </w:rPr>
        <w:t>李景吉，翟继光主编；营业税改增值税课题研究组编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6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营业税改增值税操作实务与案例分析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李景吉，翟继光主编；营业税改增值税课题研究组编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本书出售、求购地址：https://www.jiaokey.com/book/detail/13896443.html</w:t>
      </w:r>
    </w:p>
    <w:p>
      <w:r>
        <w:t>更多相关图书推荐：https://www.jiaokey.com</w:t>
      </w:r>
    </w:p>
    <w:p>
      <w:r>
        <w:t>李景吉，翟继光主编；营业税改增值税课题研究组编 其他作品：https://www.jiaokey.com/tag/李景吉，翟继光主编；营业税改增值税课题研究组编.html</w:t>
      </w:r>
    </w:p>
    <w:p>
      <w:r>
        <w:t>上海:立信会计出版社,2013.08 出版图书：https://www.jiaokey.com/tag/上海:立信会计出版社,2013.08.html</w:t>
      </w:r>
    </w:p>
    <w:p>
      <w:r>
        <w:t>关键词搜索：https://www.jiaokey.com/tag/增值税-税收管理-中国.html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