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新三板挂牌法律实务操作指引</w:t>
      </w:r>
    </w:p>
    <w:p>
      <w:r>
        <w:rPr>
          <w:rFonts w:ascii="宋体" w:hAnsi="宋体" w:eastAsia="宋体"/>
          <w:sz w:val="24"/>
        </w:rPr>
        <w:t>徐晓庆主编；邓学平，陈鑫，许迎玲，骆琼，盛楷金参编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新三板挂牌法律实务操作指引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徐晓庆主编；邓学平，陈鑫，许迎玲，骆琼，盛楷金参编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本书出售、求购地址：https://www.jiaokey.com/book/detail/13895654.html</w:t>
      </w:r>
    </w:p>
    <w:p>
      <w:r>
        <w:t>更多相关图书推荐：https://www.jiaokey.com</w:t>
      </w:r>
    </w:p>
    <w:p>
      <w:r>
        <w:t>徐晓庆主编；邓学平，陈鑫，许迎玲，骆琼，盛楷金参编 其他作品：https://www.jiaokey.com/tag/徐晓庆主编；邓学平，陈鑫，许迎玲，骆琼，盛楷金参编.html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关键词搜索：https://www.jiaokey.com/tag/新三板挂牌法律实务操作指引.html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