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诗画襄阳</w:t>
      </w:r>
    </w:p>
    <w:p>
      <w:r>
        <w:rPr>
          <w:rFonts w:ascii="宋体" w:hAnsi="宋体" w:eastAsia="宋体"/>
          <w:sz w:val="24"/>
        </w:rPr>
        <w:t>何大华，王泽时策划；凡夫撰文；周解民绘画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诗画襄阳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何大华，王泽时策划；凡夫撰文；周解民绘画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本书出售、求购地址：https://www.jiaokey.com/book/detail/13894929.html</w:t>
      </w:r>
    </w:p>
    <w:p>
      <w:r>
        <w:t>更多相关图书推荐：https://www.jiaokey.com</w:t>
      </w:r>
    </w:p>
    <w:p>
      <w:r>
        <w:t>何大华，王泽时策划；凡夫撰文；周解民绘画 其他作品：https://www.jiaokey.com/tag/何大华，王泽时策划；凡夫撰文；周解民绘画.html</w:t>
      </w:r>
    </w:p>
    <w:p>
      <w:r>
        <w:t>珠江文艺出版社 出版图书：https://www.jiaokey.com/tag/珠江文艺出版社.html</w:t>
      </w:r>
    </w:p>
    <w:p>
      <w:r>
        <w:t>关键词搜索：https://www.jiaokey.com/tag/诗画襄阳.html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