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当代中国研究系列  晚清外务部之研究</w:t>
      </w:r>
    </w:p>
    <w:p>
      <w:r>
        <w:rPr>
          <w:rFonts w:ascii="宋体" w:hAnsi="宋体" w:eastAsia="宋体"/>
          <w:sz w:val="24"/>
        </w:rPr>
        <w:t>蔡振丰著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当代中国研究系列  晚清外务部之研究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本书出售、求购地址：https://www.jiaokey.com/book/detail/13893963.html</w:t>
      </w:r>
    </w:p>
    <w:p>
      <w:r>
        <w:t>更多相关图书推荐：https://www.jiaokey.com</w:t>
      </w:r>
    </w:p>
    <w:p>
      <w:r>
        <w:t>蔡振丰著 其他作品：https://www.jiaokey.com/tag/蔡振丰著.html</w:t>
      </w:r>
    </w:p>
    <w:p>
      <w:r>
        <w:t>致知学术出版社 出版图书：https://www.jiaokey.com/tag/致知学术出版社.html</w:t>
      </w:r>
    </w:p>
    <w:p>
      <w:r>
        <w:t>关键词搜索：https://www.jiaokey.com/tag/当代中国研究系列  晚清外务部之研究.html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