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德国联邦宪法法院典型判例研究  基本权利篇</w:t>
      </w:r>
    </w:p>
    <w:p>
      <w:r>
        <w:rPr>
          <w:rFonts w:ascii="宋体" w:hAnsi="宋体" w:eastAsia="宋体"/>
          <w:sz w:val="24"/>
        </w:rPr>
        <w:t>陈戈，柳建龙，陈俊榕，傅梅瑛，萧允强，曾琦，朱军著；方小敏，邵建东丛书主编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德国联邦宪法法院典型判例研究  基本权利篇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陈戈，柳建龙，陈俊榕，傅梅瑛，萧允强，曾琦，朱军著；方小敏，邵建东丛书主编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本书出售、求购地址：https://www.jiaokey.com/book/detail/13892230.html</w:t>
      </w:r>
    </w:p>
    <w:p>
      <w:r>
        <w:t>更多相关图书推荐：https://www.jiaokey.com</w:t>
      </w:r>
    </w:p>
    <w:p>
      <w:r>
        <w:t>陈戈，柳建龙，陈俊榕，傅梅瑛，萧允强，曾琦，朱军著；方小敏，邵建东丛书主编 其他作品：https://www.jiaokey.com/tag/陈戈，柳建龙，陈俊榕，傅梅瑛，萧允强，曾琦，朱军著；方小敏，邵建东丛书主编.html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关键词搜索：https://www.jiaokey.com/tag/德国联邦宪法法院典型判例研究  基本权利篇.html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