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论下行趋势  山西民歌旋律特点初探</w:t>
      </w:r>
    </w:p>
    <w:p>
      <w:r>
        <w:rPr>
          <w:rFonts w:ascii="宋体" w:hAnsi="宋体" w:eastAsia="宋体"/>
          <w:sz w:val="24"/>
        </w:rPr>
        <w:t>孙志勇著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论下行趋势  山西民歌旋律特点初探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山西省文山市艺术学校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本书出售、求购地址：https://www.jiaokey.com/book/detail/13891420.html</w:t>
      </w:r>
    </w:p>
    <w:p>
      <w:r>
        <w:t>更多相关图书推荐：https://www.jiaokey.com</w:t>
      </w:r>
    </w:p>
    <w:p>
      <w:r>
        <w:t>孙志勇著 其他作品：https://www.jiaokey.com/tag/孙志勇著.html</w:t>
      </w:r>
    </w:p>
    <w:p>
      <w:r>
        <w:t>山西省文山市艺术学校 出版图书：https://www.jiaokey.com/tag/山西省文山市艺术学校.html</w:t>
      </w:r>
    </w:p>
    <w:p>
      <w:r>
        <w:t>关键词搜索：https://www.jiaokey.com/tag/论下行趋势  山西民歌旋律特点初探.html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