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1981年毕业研究生论文  艺术创造的心理条件  哲学系美学专业</w:t>
      </w:r>
    </w:p>
    <w:p>
      <w:r>
        <w:rPr>
          <w:rFonts w:ascii="宋体" w:hAnsi="宋体" w:eastAsia="宋体"/>
          <w:sz w:val="24"/>
        </w:rPr>
        <w:t>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1981年毕业研究生论文  艺术创造的心理条件  哲学系美学专业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本书出售、求购地址：https://www.jiaokey.com/book/detail/13891416.html</w:t>
      </w:r>
    </w:p>
    <w:p>
      <w:r>
        <w:t>更多相关图书推荐：https://www.jiaokey.com</w:t>
      </w:r>
    </w:p>
    <w:p>
      <w:r>
        <w:t>孙菲著 其他作品：https://www.jiaokey.com/tag/孙菲著.html</w:t>
      </w:r>
    </w:p>
    <w:p>
      <w:r>
        <w:t>中国社会科学院研究生院 出版图书：https://www.jiaokey.com/tag/中国社会科学院研究生院.html</w:t>
      </w:r>
    </w:p>
    <w:p>
      <w:r>
        <w:t>关键词搜索：https://www.jiaokey.com/tag/1981年毕业研究生论文  艺术创造的心理条件  哲学系美学专业.html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