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湖南民歌的分类原则与民间小戏声腔的音乐构成</w:t>
      </w:r>
    </w:p>
    <w:p>
      <w:r>
        <w:rPr>
          <w:rFonts w:ascii="宋体" w:hAnsi="宋体" w:eastAsia="宋体"/>
          <w:sz w:val="24"/>
        </w:rPr>
        <w:t>贾古著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湖南民歌的分类原则与民间小戏声腔的音乐构成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湖南省戏曲研究所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本书出售、求购地址：https://www.jiaokey.com/book/detail/13891381.html</w:t>
      </w:r>
    </w:p>
    <w:p>
      <w:r>
        <w:t>更多相关图书推荐：https://www.jiaokey.com</w:t>
      </w:r>
    </w:p>
    <w:p>
      <w:r>
        <w:t>贾古著 其他作品：https://www.jiaokey.com/tag/贾古著.html</w:t>
      </w:r>
    </w:p>
    <w:p>
      <w:r>
        <w:t>湖南省戏曲研究所 出版图书：https://www.jiaokey.com/tag/湖南省戏曲研究所.html</w:t>
      </w:r>
    </w:p>
    <w:p>
      <w:r>
        <w:t>关键词搜索：https://www.jiaokey.com/tag/湖南民歌的分类原则与民间小戏声腔的音乐构成.html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